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E" w:rsidRPr="00CF314E" w:rsidRDefault="00CF314E" w:rsidP="00E93AEE">
      <w:pPr>
        <w:rPr>
          <w:b/>
        </w:rPr>
      </w:pPr>
      <w:bookmarkStart w:id="0" w:name="_GoBack"/>
      <w:r w:rsidRPr="00CF314E">
        <w:rPr>
          <w:b/>
        </w:rPr>
        <w:t xml:space="preserve">ANUNCIO DE LA CONVOCATORIA ECSEL JU 2020 </w:t>
      </w:r>
      <w:hyperlink r:id="rId5" w:history="1">
        <w:r w:rsidRPr="00CF314E">
          <w:rPr>
            <w:rStyle w:val="Hipervnculo"/>
            <w:b/>
          </w:rPr>
          <w:t>https://www.ecsel.eu/calls/calls-2020</w:t>
        </w:r>
      </w:hyperlink>
    </w:p>
    <w:bookmarkEnd w:id="0"/>
    <w:p w:rsidR="00CF314E" w:rsidRDefault="00CF314E" w:rsidP="00E93AEE"/>
    <w:p w:rsidR="00E93AEE" w:rsidRPr="00F97EF6" w:rsidRDefault="00E93AEE" w:rsidP="00E93AEE">
      <w:pPr>
        <w:jc w:val="both"/>
      </w:pPr>
      <w:r w:rsidRPr="00E03942">
        <w:rPr>
          <w:color w:val="000000"/>
        </w:rPr>
        <w:t xml:space="preserve">ECSEL </w:t>
      </w:r>
      <w:proofErr w:type="spellStart"/>
      <w:r w:rsidRPr="00E03942">
        <w:rPr>
          <w:color w:val="000000"/>
        </w:rPr>
        <w:t>Joint</w:t>
      </w:r>
      <w:proofErr w:type="spellEnd"/>
      <w:r w:rsidRPr="00E03942">
        <w:rPr>
          <w:color w:val="000000"/>
        </w:rPr>
        <w:t xml:space="preserve"> </w:t>
      </w:r>
      <w:proofErr w:type="spellStart"/>
      <w:r w:rsidRPr="00E03942">
        <w:rPr>
          <w:color w:val="000000"/>
        </w:rPr>
        <w:t>Undertaking</w:t>
      </w:r>
      <w:proofErr w:type="spellEnd"/>
      <w:r w:rsidRPr="00E03942">
        <w:rPr>
          <w:color w:val="000000"/>
        </w:rPr>
        <w:t xml:space="preserve"> </w:t>
      </w:r>
      <w:r w:rsidRPr="00E03942">
        <w:t>(</w:t>
      </w:r>
      <w:hyperlink r:id="rId6" w:history="1">
        <w:r w:rsidRPr="00E03942">
          <w:rPr>
            <w:rStyle w:val="Hipervnculo"/>
          </w:rPr>
          <w:t>https://www.ecsel.eu/</w:t>
        </w:r>
      </w:hyperlink>
      <w:r w:rsidRPr="00E03942">
        <w:t>)</w:t>
      </w:r>
      <w:r w:rsidRPr="00E03942">
        <w:rPr>
          <w:color w:val="000000"/>
        </w:rPr>
        <w:t xml:space="preserve"> es una </w:t>
      </w:r>
      <w:r w:rsidR="009E18F6">
        <w:rPr>
          <w:color w:val="000000"/>
        </w:rPr>
        <w:t>empresa común</w:t>
      </w:r>
      <w:r w:rsidRPr="00E03942">
        <w:rPr>
          <w:color w:val="000000"/>
        </w:rPr>
        <w:t xml:space="preserve"> público-privada </w:t>
      </w:r>
      <w:r w:rsidR="00F97EF6">
        <w:rPr>
          <w:color w:val="000000"/>
        </w:rPr>
        <w:t xml:space="preserve"> </w:t>
      </w:r>
      <w:r w:rsidRPr="00E03942">
        <w:rPr>
          <w:color w:val="000000"/>
        </w:rPr>
        <w:t>que financia investigación, desarrollo e innova</w:t>
      </w:r>
      <w:r w:rsidR="00E03942">
        <w:rPr>
          <w:color w:val="000000"/>
        </w:rPr>
        <w:t>ción en Sistemas y Componentes E</w:t>
      </w:r>
      <w:r w:rsidRPr="00E03942">
        <w:rPr>
          <w:color w:val="000000"/>
        </w:rPr>
        <w:t>lectrónicos</w:t>
      </w:r>
      <w:r w:rsidR="00F97EF6">
        <w:rPr>
          <w:color w:val="000000"/>
        </w:rPr>
        <w:t xml:space="preserve"> (ECS) como tecnologías clave para la </w:t>
      </w:r>
      <w:r w:rsidR="00343F8F">
        <w:rPr>
          <w:color w:val="000000"/>
        </w:rPr>
        <w:t>era de la economía</w:t>
      </w:r>
      <w:r w:rsidR="00F97EF6">
        <w:rPr>
          <w:color w:val="000000"/>
        </w:rPr>
        <w:t xml:space="preserve"> digital </w:t>
      </w:r>
      <w:r w:rsidR="00343F8F">
        <w:rPr>
          <w:color w:val="000000"/>
        </w:rPr>
        <w:t xml:space="preserve">y </w:t>
      </w:r>
      <w:r w:rsidR="00F97EF6">
        <w:rPr>
          <w:color w:val="000000"/>
        </w:rPr>
        <w:t xml:space="preserve">de acuerdo a la normativa que lo estableció </w:t>
      </w:r>
      <w:r w:rsidR="00F97EF6" w:rsidRPr="00F97EF6">
        <w:rPr>
          <w:color w:val="000000"/>
        </w:rPr>
        <w:t>(</w:t>
      </w:r>
      <w:r w:rsidR="00F97EF6" w:rsidRPr="00F97EF6">
        <w:t xml:space="preserve">COUNCIL REGULATION (EU) No 561/2014 of 6 </w:t>
      </w:r>
      <w:proofErr w:type="spellStart"/>
      <w:r w:rsidR="00F97EF6" w:rsidRPr="00F97EF6">
        <w:t>May</w:t>
      </w:r>
      <w:proofErr w:type="spellEnd"/>
      <w:r w:rsidR="00F97EF6" w:rsidRPr="00F97EF6">
        <w:t xml:space="preserve"> 2014 </w:t>
      </w:r>
      <w:proofErr w:type="spellStart"/>
      <w:r w:rsidR="00F97EF6" w:rsidRPr="00F97EF6">
        <w:t>establishing</w:t>
      </w:r>
      <w:proofErr w:type="spellEnd"/>
      <w:r w:rsidR="00F97EF6" w:rsidRPr="00F97EF6">
        <w:t xml:space="preserve"> </w:t>
      </w:r>
      <w:proofErr w:type="spellStart"/>
      <w:r w:rsidR="00F97EF6" w:rsidRPr="00F97EF6">
        <w:t>the</w:t>
      </w:r>
      <w:proofErr w:type="spellEnd"/>
      <w:r w:rsidR="00F97EF6" w:rsidRPr="00F97EF6">
        <w:t xml:space="preserve"> ECSEL </w:t>
      </w:r>
      <w:proofErr w:type="spellStart"/>
      <w:r w:rsidR="00F97EF6" w:rsidRPr="00F97EF6">
        <w:t>Joint</w:t>
      </w:r>
      <w:proofErr w:type="spellEnd"/>
      <w:r w:rsidR="00F97EF6" w:rsidRPr="00F97EF6">
        <w:t xml:space="preserve"> </w:t>
      </w:r>
      <w:proofErr w:type="spellStart"/>
      <w:r w:rsidR="00F97EF6" w:rsidRPr="00F97EF6">
        <w:t>Undertaking</w:t>
      </w:r>
      <w:proofErr w:type="spellEnd"/>
      <w:r w:rsidR="00F97EF6" w:rsidRPr="00F97EF6">
        <w:t>).</w:t>
      </w:r>
      <w:r w:rsidR="00E03942">
        <w:rPr>
          <w:color w:val="000000"/>
        </w:rPr>
        <w:t xml:space="preserve"> </w:t>
      </w:r>
    </w:p>
    <w:p w:rsidR="00E93AEE" w:rsidRPr="00F97EF6" w:rsidRDefault="00E93AEE" w:rsidP="00E93AEE">
      <w:pPr>
        <w:jc w:val="both"/>
      </w:pPr>
    </w:p>
    <w:p w:rsidR="00E03942" w:rsidRDefault="00E03942" w:rsidP="00E93AEE">
      <w:pPr>
        <w:jc w:val="both"/>
        <w:rPr>
          <w:color w:val="000000"/>
          <w:shd w:val="clear" w:color="auto" w:fill="FFFFFF"/>
        </w:rPr>
      </w:pPr>
      <w:r w:rsidRPr="00E03942">
        <w:rPr>
          <w:color w:val="000000"/>
          <w:shd w:val="clear" w:color="auto" w:fill="FFFFFF"/>
        </w:rPr>
        <w:t xml:space="preserve">Asociaciones industriales, estados miembros y la Comisión Europea forman ECSEL JU. </w:t>
      </w:r>
      <w:r w:rsidR="00F97EF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ECSEL JU financia proyectos de investigación, desarrollo e innovación </w:t>
      </w:r>
      <w:r w:rsidR="00F97EF6">
        <w:rPr>
          <w:color w:val="000000"/>
          <w:shd w:val="clear" w:color="auto" w:fill="FFFFFF"/>
        </w:rPr>
        <w:t xml:space="preserve">que incluyen ECS </w:t>
      </w:r>
      <w:r>
        <w:rPr>
          <w:color w:val="000000"/>
          <w:shd w:val="clear" w:color="auto" w:fill="FFFFFF"/>
        </w:rPr>
        <w:t xml:space="preserve">a través de convocatorias anuales de proyectos transnacionales. </w:t>
      </w:r>
    </w:p>
    <w:p w:rsidR="00F97EF6" w:rsidRDefault="00F97EF6" w:rsidP="00E93AEE">
      <w:pPr>
        <w:jc w:val="both"/>
        <w:rPr>
          <w:color w:val="000000"/>
          <w:shd w:val="clear" w:color="auto" w:fill="FFFFFF"/>
        </w:rPr>
      </w:pPr>
    </w:p>
    <w:p w:rsidR="00343F8F" w:rsidRDefault="00F97EF6" w:rsidP="00343F8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 encuentra abierta la convocatoria 2020 (</w:t>
      </w:r>
      <w:hyperlink r:id="rId7" w:history="1">
        <w:r>
          <w:rPr>
            <w:rStyle w:val="Hipervnculo"/>
          </w:rPr>
          <w:t>https://www.ecsel.eu/calls/calls-2020</w:t>
        </w:r>
      </w:hyperlink>
      <w:r>
        <w:rPr>
          <w:color w:val="000000"/>
          <w:shd w:val="clear" w:color="auto" w:fill="FFFFFF"/>
        </w:rPr>
        <w:t xml:space="preserve">). </w:t>
      </w:r>
      <w:r w:rsidR="00CF314E">
        <w:rPr>
          <w:color w:val="000000"/>
          <w:shd w:val="clear" w:color="auto" w:fill="FFFFFF"/>
        </w:rPr>
        <w:t>Esta convocatoria incluye</w:t>
      </w:r>
      <w:r w:rsidR="00343F8F">
        <w:rPr>
          <w:color w:val="000000"/>
          <w:shd w:val="clear" w:color="auto" w:fill="FFFFFF"/>
        </w:rPr>
        <w:t xml:space="preserve"> dos tipos de instrumentos:</w:t>
      </w:r>
    </w:p>
    <w:p w:rsidR="00343F8F" w:rsidRDefault="00343F8F" w:rsidP="00343F8F">
      <w:pPr>
        <w:pStyle w:val="Prrafodelista"/>
        <w:numPr>
          <w:ilvl w:val="0"/>
          <w:numId w:val="1"/>
        </w:numPr>
        <w:rPr>
          <w:color w:val="000000"/>
          <w:shd w:val="clear" w:color="auto" w:fill="FFFFFF"/>
        </w:rPr>
      </w:pPr>
      <w:r w:rsidRPr="00343F8F">
        <w:rPr>
          <w:color w:val="000000"/>
          <w:shd w:val="clear" w:color="auto" w:fill="FFFFFF"/>
        </w:rPr>
        <w:t>Acciones de innovación H2020-ECSEL-2020-1-IA-two-</w:t>
      </w:r>
      <w:proofErr w:type="gramStart"/>
      <w:r w:rsidRPr="00343F8F">
        <w:rPr>
          <w:color w:val="000000"/>
          <w:shd w:val="clear" w:color="auto" w:fill="FFFFFF"/>
        </w:rPr>
        <w:t>stage  (</w:t>
      </w:r>
      <w:proofErr w:type="gramEnd"/>
      <w:r w:rsidRPr="00343F8F">
        <w:rPr>
          <w:color w:val="000000"/>
          <w:shd w:val="clear" w:color="auto" w:fill="FFFFFF"/>
        </w:rPr>
        <w:t>ECSEL-IA)</w:t>
      </w:r>
    </w:p>
    <w:p w:rsidR="00343F8F" w:rsidRPr="00343F8F" w:rsidRDefault="00343F8F" w:rsidP="00615F59">
      <w:pPr>
        <w:pStyle w:val="Prrafodelista"/>
        <w:numPr>
          <w:ilvl w:val="0"/>
          <w:numId w:val="1"/>
        </w:numPr>
      </w:pPr>
      <w:r w:rsidRPr="00343F8F">
        <w:rPr>
          <w:color w:val="000000"/>
          <w:shd w:val="clear" w:color="auto" w:fill="FFFFFF"/>
        </w:rPr>
        <w:t>Acciones de investigación e innovación H2020-ECSEL-2020-2-RIA-two-stage - (ECSEL-RIA)</w:t>
      </w:r>
    </w:p>
    <w:p w:rsidR="00343F8F" w:rsidRDefault="00343F8F" w:rsidP="00343F8F">
      <w:pPr>
        <w:rPr>
          <w:color w:val="000000"/>
          <w:shd w:val="clear" w:color="auto" w:fill="FFFFFF"/>
        </w:rPr>
      </w:pPr>
    </w:p>
    <w:p w:rsidR="00CD3AE2" w:rsidRDefault="00343F8F" w:rsidP="00680F33">
      <w:r>
        <w:t>Además de la financiación directa de ECSEL JU (</w:t>
      </w:r>
      <w:r w:rsidRPr="00343F8F">
        <w:rPr>
          <w:color w:val="000000"/>
          <w:shd w:val="clear" w:color="auto" w:fill="FFFFFF"/>
        </w:rPr>
        <w:t>2020-1-IA</w:t>
      </w:r>
      <w:r>
        <w:rPr>
          <w:color w:val="000000"/>
          <w:shd w:val="clear" w:color="auto" w:fill="FFFFFF"/>
        </w:rPr>
        <w:t xml:space="preserve"> 93M€ y 2020-2-RIA 61</w:t>
      </w:r>
      <w:r w:rsidRPr="00343F8F">
        <w:rPr>
          <w:color w:val="000000"/>
          <w:shd w:val="clear" w:color="auto" w:fill="FFFFFF"/>
        </w:rPr>
        <w:t>M€</w:t>
      </w:r>
      <w:r>
        <w:rPr>
          <w:color w:val="000000"/>
          <w:shd w:val="clear" w:color="auto" w:fill="FFFFFF"/>
        </w:rPr>
        <w:t>)</w:t>
      </w:r>
      <w:r>
        <w:t xml:space="preserve">, la Agencia Estatal de Investigación (AEI) y el Ministerio de Asuntos Económicos y Transformación Digital (MINAETD) financian entidades públicas y privadas españolas con presupuestos de </w:t>
      </w:r>
      <w:proofErr w:type="gramStart"/>
      <w:r>
        <w:t>1,3M</w:t>
      </w:r>
      <w:proofErr w:type="gramEnd"/>
      <w:r>
        <w:t xml:space="preserve">€ y 10M€ respectivamente. </w:t>
      </w:r>
    </w:p>
    <w:p w:rsidR="009E18F6" w:rsidRDefault="009E18F6" w:rsidP="00680F33"/>
    <w:p w:rsidR="00E93AEE" w:rsidRDefault="00680F33" w:rsidP="00680F33">
      <w:r>
        <w:t xml:space="preserve">ECSEL JU promueve ECS como tecnologías críticas básicas en un amplísimo rango de </w:t>
      </w:r>
      <w:r w:rsidR="00E93AEE">
        <w:t xml:space="preserve">áreas y </w:t>
      </w:r>
      <w:r>
        <w:t xml:space="preserve">financia proyectos de gran envergadura en lo que se refiere a consorcios y </w:t>
      </w:r>
      <w:r w:rsidR="00E93AEE">
        <w:t>presupuestos</w:t>
      </w:r>
      <w:r>
        <w:t xml:space="preserve">. Pueden ver debajo las áreas y objetivos de la convocatoria abierta. </w:t>
      </w:r>
    </w:p>
    <w:p w:rsidR="00680F33" w:rsidRDefault="00680F33" w:rsidP="00680F33"/>
    <w:p w:rsidR="00680F33" w:rsidRDefault="00680F33" w:rsidP="00680F33"/>
    <w:p w:rsidR="00680F33" w:rsidRPr="00CD3AE2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  <w:u w:val="single"/>
          <w:lang w:val="en-GB"/>
        </w:rPr>
      </w:pPr>
      <w:r w:rsidRPr="00CD3AE2">
        <w:rPr>
          <w:rFonts w:ascii="TimesNewRomanPS-BoldMT" w:hAnsi="TimesNewRomanPS-BoldMT"/>
          <w:b/>
          <w:bCs/>
          <w:sz w:val="24"/>
          <w:szCs w:val="24"/>
          <w:u w:val="single"/>
          <w:lang w:val="en-GB"/>
        </w:rPr>
        <w:t xml:space="preserve">Topics and Major Challenges </w:t>
      </w: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Transport &amp; Smart Mobility</w:t>
      </w:r>
    </w:p>
    <w:p w:rsidR="00680F33" w:rsidRDefault="00680F33" w:rsidP="00680F33">
      <w:pPr>
        <w:pStyle w:val="Prrafodelista"/>
        <w:numPr>
          <w:ilvl w:val="0"/>
          <w:numId w:val="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1: Developing clean, affordable and sustainable propulsion  </w:t>
      </w:r>
    </w:p>
    <w:p w:rsidR="00680F33" w:rsidRDefault="00680F33" w:rsidP="00680F33">
      <w:pPr>
        <w:pStyle w:val="Prrafodelista"/>
        <w:numPr>
          <w:ilvl w:val="0"/>
          <w:numId w:val="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2: Ensuring secure connected, cooperative and automated mobility and transportation</w:t>
      </w:r>
    </w:p>
    <w:p w:rsidR="00680F33" w:rsidRDefault="00680F33" w:rsidP="00680F33">
      <w:pPr>
        <w:pStyle w:val="Prrafodelista"/>
        <w:numPr>
          <w:ilvl w:val="0"/>
          <w:numId w:val="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3: Managing interaction between humans and vehicles  </w:t>
      </w:r>
    </w:p>
    <w:p w:rsidR="00680F33" w:rsidRDefault="00680F33" w:rsidP="00680F33">
      <w:pPr>
        <w:pStyle w:val="Prrafodelista"/>
        <w:numPr>
          <w:ilvl w:val="0"/>
          <w:numId w:val="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4: Implementing infrastructure and services for smart personal mobility and logistics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Health and Wellbeing</w:t>
      </w:r>
    </w:p>
    <w:p w:rsidR="00680F33" w:rsidRDefault="00680F33" w:rsidP="00680F33">
      <w:pPr>
        <w:pStyle w:val="Prrafodelista"/>
        <w:numPr>
          <w:ilvl w:val="0"/>
          <w:numId w:val="4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Moving healthcare from hospitals into our homes and daily life requiring preventive and patient centric care</w:t>
      </w:r>
    </w:p>
    <w:p w:rsidR="00680F33" w:rsidRDefault="00680F33" w:rsidP="00680F33">
      <w:pPr>
        <w:pStyle w:val="Prrafodelista"/>
        <w:numPr>
          <w:ilvl w:val="0"/>
          <w:numId w:val="4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Restructuring healthcare delivery systems, from supply-driven to patient oriented</w:t>
      </w:r>
    </w:p>
    <w:p w:rsidR="00680F33" w:rsidRDefault="00680F33" w:rsidP="00680F33">
      <w:pPr>
        <w:pStyle w:val="Prrafodelista"/>
        <w:numPr>
          <w:ilvl w:val="0"/>
          <w:numId w:val="4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Engaging individuals more actively in their own health and wellbeing  </w:t>
      </w:r>
    </w:p>
    <w:p w:rsidR="00680F33" w:rsidRDefault="00680F33" w:rsidP="00680F33">
      <w:pPr>
        <w:pStyle w:val="Prrafodelista"/>
        <w:numPr>
          <w:ilvl w:val="0"/>
          <w:numId w:val="4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Ensuring affordable healthcare for the growing amount of chronic, lifestyle related diseases and an ageing population</w:t>
      </w:r>
    </w:p>
    <w:p w:rsidR="00680F33" w:rsidRDefault="00680F33" w:rsidP="00680F33">
      <w:pPr>
        <w:pStyle w:val="Prrafodelista"/>
        <w:numPr>
          <w:ilvl w:val="0"/>
          <w:numId w:val="4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Developing platforms for wearables/implants, data analytics, artificial intelligence for precision medicine and personalised healthcare and wellbeing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Energy</w:t>
      </w:r>
    </w:p>
    <w:p w:rsidR="00680F33" w:rsidRDefault="00680F33" w:rsidP="00680F33">
      <w:pPr>
        <w:pStyle w:val="Prrafodelista"/>
        <w:numPr>
          <w:ilvl w:val="0"/>
          <w:numId w:val="5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lastRenderedPageBreak/>
        <w:t>Major Challenge 1: Ensuring sustainable power generation and energy conversion</w:t>
      </w:r>
    </w:p>
    <w:p w:rsidR="00680F33" w:rsidRDefault="00680F33" w:rsidP="00680F33">
      <w:pPr>
        <w:pStyle w:val="Prrafodelista"/>
        <w:numPr>
          <w:ilvl w:val="0"/>
          <w:numId w:val="5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Achieving efficient community energy management  </w:t>
      </w:r>
    </w:p>
    <w:p w:rsidR="00680F33" w:rsidRDefault="00680F33" w:rsidP="00680F33">
      <w:pPr>
        <w:pStyle w:val="Prrafodelista"/>
        <w:numPr>
          <w:ilvl w:val="0"/>
          <w:numId w:val="5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3: Reducing energy consumption  </w:t>
      </w:r>
    </w:p>
    <w:p w:rsidR="00680F33" w:rsidRDefault="00680F33" w:rsidP="00680F33">
      <w:pPr>
        <w:pStyle w:val="Prrafodelista"/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Digital Industry</w:t>
      </w:r>
    </w:p>
    <w:p w:rsidR="00680F33" w:rsidRDefault="00680F33" w:rsidP="00680F33">
      <w:pPr>
        <w:pStyle w:val="Prrafodelista"/>
        <w:numPr>
          <w:ilvl w:val="0"/>
          <w:numId w:val="6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1: Developing digital twins, simulation models for the evaluation of industrial assets at all factory levels and over system or product life-cycles</w:t>
      </w:r>
    </w:p>
    <w:p w:rsidR="00680F33" w:rsidRDefault="00680F33" w:rsidP="00680F33">
      <w:pPr>
        <w:pStyle w:val="Prrafodelista"/>
        <w:numPr>
          <w:ilvl w:val="0"/>
          <w:numId w:val="6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AI-enabled cognitive, resilient, adaptable manufacturing  </w:t>
      </w:r>
    </w:p>
    <w:p w:rsidR="00680F33" w:rsidRDefault="00680F33" w:rsidP="00680F33">
      <w:pPr>
        <w:pStyle w:val="Prrafodelista"/>
        <w:numPr>
          <w:ilvl w:val="0"/>
          <w:numId w:val="6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3: Developing digital platforms, application development frameworks that integrate sensors/actuators and systems</w:t>
      </w:r>
    </w:p>
    <w:p w:rsidR="00680F33" w:rsidRDefault="00680F33" w:rsidP="00680F33">
      <w:pPr>
        <w:pStyle w:val="Prrafodelista"/>
        <w:numPr>
          <w:ilvl w:val="0"/>
          <w:numId w:val="6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4: Human-centred manufacturing  </w:t>
      </w:r>
    </w:p>
    <w:p w:rsidR="00680F33" w:rsidRDefault="00680F33" w:rsidP="00680F33">
      <w:pPr>
        <w:pStyle w:val="Prrafodelista"/>
        <w:numPr>
          <w:ilvl w:val="0"/>
          <w:numId w:val="6"/>
        </w:numPr>
        <w:spacing w:after="160" w:line="252" w:lineRule="auto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5: Sustainable manufacturing in a circular economy  </w:t>
      </w: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Digital Life</w:t>
      </w:r>
    </w:p>
    <w:p w:rsidR="00680F33" w:rsidRDefault="00680F33" w:rsidP="00680F33">
      <w:pPr>
        <w:pStyle w:val="Prrafodelista"/>
        <w:numPr>
          <w:ilvl w:val="0"/>
          <w:numId w:val="7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1: Ensuring safe and secure spaces  </w:t>
      </w:r>
    </w:p>
    <w:p w:rsidR="00680F33" w:rsidRDefault="00680F33" w:rsidP="00680F33">
      <w:pPr>
        <w:pStyle w:val="Prrafodelista"/>
        <w:numPr>
          <w:ilvl w:val="0"/>
          <w:numId w:val="7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Ensuring healthy and comfortable spaces  </w:t>
      </w:r>
    </w:p>
    <w:p w:rsidR="00680F33" w:rsidRDefault="00680F33" w:rsidP="00680F33">
      <w:pPr>
        <w:pStyle w:val="Prrafodelista"/>
        <w:numPr>
          <w:ilvl w:val="0"/>
          <w:numId w:val="7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3: Ensuring anticipating spaces  </w:t>
      </w:r>
    </w:p>
    <w:p w:rsidR="00680F33" w:rsidRDefault="00680F33" w:rsidP="00680F33">
      <w:pPr>
        <w:pStyle w:val="Prrafodelista"/>
        <w:numPr>
          <w:ilvl w:val="0"/>
          <w:numId w:val="7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4: Ensuring sustainable spaces  </w:t>
      </w:r>
    </w:p>
    <w:p w:rsidR="00680F33" w:rsidRDefault="00680F33" w:rsidP="00680F33">
      <w:pPr>
        <w:pStyle w:val="Prrafodelista"/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Systems and Components: Architecture, Design and Integration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1: Managing critical, autonomous, cooperating, evolvable systems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Managing Complexity  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3: Managing Diversity  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4: Managing Multiple Constraint  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5: Integrating features of various technologies and materials into miniaturised smart components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6: Effectively integrating modules for highly demanding environments</w:t>
      </w:r>
    </w:p>
    <w:p w:rsidR="00680F33" w:rsidRDefault="00680F33" w:rsidP="00680F33">
      <w:pPr>
        <w:pStyle w:val="Prrafodelista"/>
        <w:numPr>
          <w:ilvl w:val="0"/>
          <w:numId w:val="8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7: Increasing compactness and capabilities by functional and physical systems integration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Connectivity and Interoperability</w:t>
      </w:r>
    </w:p>
    <w:p w:rsidR="00680F33" w:rsidRDefault="00680F33" w:rsidP="00680F33">
      <w:pPr>
        <w:pStyle w:val="Prrafodelista"/>
        <w:numPr>
          <w:ilvl w:val="0"/>
          <w:numId w:val="9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1: Strengthening the EU position on differentiated technologies and enabling it to capture higher value by moving to system/module level </w:t>
      </w:r>
    </w:p>
    <w:p w:rsidR="00680F33" w:rsidRDefault="00680F33" w:rsidP="00680F33">
      <w:pPr>
        <w:pStyle w:val="Prrafodelista"/>
        <w:numPr>
          <w:ilvl w:val="0"/>
          <w:numId w:val="9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Autonomous interoperability translation for communication protocol, data encoding, security and information semantics </w:t>
      </w:r>
    </w:p>
    <w:p w:rsidR="00680F33" w:rsidRDefault="00680F33" w:rsidP="00680F33">
      <w:pPr>
        <w:pStyle w:val="Prrafodelista"/>
        <w:numPr>
          <w:ilvl w:val="0"/>
          <w:numId w:val="9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3: Architectures and reference implementations of interoperable, secure, scalable, smart and evolvable </w:t>
      </w:r>
      <w:proofErr w:type="spellStart"/>
      <w:r>
        <w:rPr>
          <w:rFonts w:ascii="TimesNewRomanPSMT" w:hAnsi="TimesNewRomanPSMT"/>
          <w:lang w:val="en-GB"/>
        </w:rPr>
        <w:t>IoT</w:t>
      </w:r>
      <w:proofErr w:type="spellEnd"/>
      <w:r>
        <w:rPr>
          <w:rFonts w:ascii="TimesNewRomanPSMT" w:hAnsi="TimesNewRomanPSMT"/>
          <w:lang w:val="en-GB"/>
        </w:rPr>
        <w:t xml:space="preserve"> and </w:t>
      </w:r>
      <w:proofErr w:type="spellStart"/>
      <w:r>
        <w:rPr>
          <w:rFonts w:ascii="TimesNewRomanPSMT" w:hAnsi="TimesNewRomanPSMT"/>
          <w:lang w:val="en-GB"/>
        </w:rPr>
        <w:t>SoS</w:t>
      </w:r>
      <w:proofErr w:type="spellEnd"/>
      <w:r>
        <w:rPr>
          <w:rFonts w:ascii="TimesNewRomanPSMT" w:hAnsi="TimesNewRomanPSMT"/>
          <w:lang w:val="en-GB"/>
        </w:rPr>
        <w:t xml:space="preserve"> connectivity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Safety, Security and Reliability</w:t>
      </w:r>
    </w:p>
    <w:p w:rsidR="00680F33" w:rsidRDefault="00680F33" w:rsidP="00680F33">
      <w:pPr>
        <w:pStyle w:val="Prrafodelista"/>
        <w:numPr>
          <w:ilvl w:val="0"/>
          <w:numId w:val="10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1: Safety, security and privacy by design  </w:t>
      </w:r>
    </w:p>
    <w:p w:rsidR="00680F33" w:rsidRDefault="00680F33" w:rsidP="00680F33">
      <w:pPr>
        <w:pStyle w:val="Prrafodelista"/>
        <w:numPr>
          <w:ilvl w:val="0"/>
          <w:numId w:val="10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2: Reliability and Functional Safety  </w:t>
      </w:r>
    </w:p>
    <w:p w:rsidR="00680F33" w:rsidRDefault="00680F33" w:rsidP="00680F33">
      <w:pPr>
        <w:pStyle w:val="Prrafodelista"/>
        <w:numPr>
          <w:ilvl w:val="0"/>
          <w:numId w:val="10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lastRenderedPageBreak/>
        <w:t xml:space="preserve">Major Challenge 3: Secure, safe and trustable connectivity and infrastructure  </w:t>
      </w:r>
    </w:p>
    <w:p w:rsidR="00680F33" w:rsidRDefault="00680F33" w:rsidP="00680F33">
      <w:pPr>
        <w:pStyle w:val="Prrafodelista"/>
        <w:numPr>
          <w:ilvl w:val="0"/>
          <w:numId w:val="10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Major Challenge 4: Privacy, data protection and human interaction 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 </w:t>
      </w: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Computing and Storage</w:t>
      </w:r>
    </w:p>
    <w:p w:rsidR="00680F33" w:rsidRDefault="00680F33" w:rsidP="00680F33">
      <w:pPr>
        <w:pStyle w:val="Prrafodelista"/>
        <w:numPr>
          <w:ilvl w:val="0"/>
          <w:numId w:val="11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Increasing performance at acceptable costs  </w:t>
      </w:r>
    </w:p>
    <w:p w:rsidR="00680F33" w:rsidRDefault="00680F33" w:rsidP="00680F33">
      <w:pPr>
        <w:pStyle w:val="Prrafodelista"/>
        <w:numPr>
          <w:ilvl w:val="0"/>
          <w:numId w:val="11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Making computing systems more integrated with the real world  </w:t>
      </w:r>
    </w:p>
    <w:p w:rsidR="00680F33" w:rsidRDefault="00680F33" w:rsidP="00680F33">
      <w:pPr>
        <w:pStyle w:val="Prrafodelista"/>
        <w:numPr>
          <w:ilvl w:val="0"/>
          <w:numId w:val="11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Making "intelligent" machines  </w:t>
      </w:r>
    </w:p>
    <w:p w:rsidR="00680F33" w:rsidRDefault="00680F33" w:rsidP="00680F33">
      <w:pPr>
        <w:pStyle w:val="Prrafodelista"/>
        <w:numPr>
          <w:ilvl w:val="0"/>
          <w:numId w:val="11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Developing new disruptive technologies  </w:t>
      </w:r>
    </w:p>
    <w:p w:rsidR="00680F33" w:rsidRDefault="00680F33" w:rsidP="00680F33">
      <w:pPr>
        <w:pStyle w:val="Prrafodelista"/>
        <w:autoSpaceDE w:val="0"/>
        <w:autoSpaceDN w:val="0"/>
        <w:rPr>
          <w:rFonts w:ascii="TimesNewRomanPSMT" w:hAnsi="TimesNewRomanPSMT"/>
          <w:lang w:val="en-GB"/>
        </w:rPr>
      </w:pPr>
    </w:p>
    <w:p w:rsidR="00680F33" w:rsidRP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 xml:space="preserve">Process Technology, Equipment, Materials and Manufacturing for Electronic Components </w:t>
      </w:r>
      <w:r w:rsidRPr="00680F33">
        <w:rPr>
          <w:rFonts w:ascii="TimesNewRomanPS-BoldMT" w:hAnsi="TimesNewRomanPS-BoldMT"/>
          <w:b/>
          <w:bCs/>
          <w:lang w:val="en-GB"/>
        </w:rPr>
        <w:t>&amp; Systems</w:t>
      </w:r>
    </w:p>
    <w:p w:rsidR="00680F33" w:rsidRDefault="00680F33" w:rsidP="00680F33">
      <w:pPr>
        <w:pStyle w:val="Prrafodelista"/>
        <w:numPr>
          <w:ilvl w:val="0"/>
          <w:numId w:val="12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1: Develop advanced logic and memory technology for nanoscale integration and application-driven performance</w:t>
      </w:r>
    </w:p>
    <w:p w:rsidR="00680F33" w:rsidRDefault="00680F33" w:rsidP="00680F33">
      <w:pPr>
        <w:pStyle w:val="Prrafodelista"/>
        <w:numPr>
          <w:ilvl w:val="0"/>
          <w:numId w:val="12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2: Develop Technology for Heterogeneous System-on-Chip (</w:t>
      </w:r>
      <w:proofErr w:type="spellStart"/>
      <w:r>
        <w:rPr>
          <w:rFonts w:ascii="TimesNewRomanPSMT" w:hAnsi="TimesNewRomanPSMT"/>
          <w:lang w:val="en-GB"/>
        </w:rPr>
        <w:t>SoC</w:t>
      </w:r>
      <w:proofErr w:type="spellEnd"/>
      <w:r>
        <w:rPr>
          <w:rFonts w:ascii="TimesNewRomanPSMT" w:hAnsi="TimesNewRomanPSMT"/>
          <w:lang w:val="en-GB"/>
        </w:rPr>
        <w:t>) Integration</w:t>
      </w:r>
    </w:p>
    <w:p w:rsidR="00680F33" w:rsidRDefault="00680F33" w:rsidP="00680F33">
      <w:pPr>
        <w:pStyle w:val="Prrafodelista"/>
        <w:numPr>
          <w:ilvl w:val="0"/>
          <w:numId w:val="12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3: Develop technology for Advanced Packaging and Heterogeneous System-in-Package (</w:t>
      </w:r>
      <w:proofErr w:type="spellStart"/>
      <w:r>
        <w:rPr>
          <w:rFonts w:ascii="TimesNewRomanPSMT" w:hAnsi="TimesNewRomanPSMT"/>
          <w:lang w:val="en-GB"/>
        </w:rPr>
        <w:t>SiP</w:t>
      </w:r>
      <w:proofErr w:type="spellEnd"/>
      <w:r>
        <w:rPr>
          <w:rFonts w:ascii="TimesNewRomanPSMT" w:hAnsi="TimesNewRomanPSMT"/>
          <w:lang w:val="en-GB"/>
        </w:rPr>
        <w:t>) integration</w:t>
      </w:r>
    </w:p>
    <w:p w:rsidR="00680F33" w:rsidRDefault="00680F33" w:rsidP="00680F33">
      <w:pPr>
        <w:pStyle w:val="Prrafodelista"/>
        <w:numPr>
          <w:ilvl w:val="0"/>
          <w:numId w:val="12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>Major Challenge 4: Extend world leadership in Semiconductor Equipment, Materials and Manufacturing solutions</w:t>
      </w:r>
    </w:p>
    <w:p w:rsidR="00680F33" w:rsidRDefault="00680F33" w:rsidP="00680F33">
      <w:pPr>
        <w:autoSpaceDE w:val="0"/>
        <w:autoSpaceDN w:val="0"/>
        <w:rPr>
          <w:rFonts w:ascii="TimesNewRomanPSMT" w:hAnsi="TimesNewRomanPSMT"/>
          <w:lang w:val="en-GB"/>
        </w:rPr>
      </w:pPr>
    </w:p>
    <w:p w:rsidR="00680F33" w:rsidRDefault="00680F33" w:rsidP="00680F33">
      <w:pPr>
        <w:autoSpaceDE w:val="0"/>
        <w:autoSpaceDN w:val="0"/>
        <w:rPr>
          <w:rFonts w:ascii="TimesNewRomanPS-BoldMT" w:hAnsi="TimesNewRomanPS-BoldMT"/>
          <w:b/>
          <w:bCs/>
          <w:lang w:val="en-GB"/>
        </w:rPr>
      </w:pPr>
      <w:r>
        <w:rPr>
          <w:rFonts w:ascii="TimesNewRomanPS-BoldMT" w:hAnsi="TimesNewRomanPS-BoldMT"/>
          <w:b/>
          <w:bCs/>
          <w:lang w:val="en-GB"/>
        </w:rPr>
        <w:t>Long-term vision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New computing paradigms (‘Beyond CMOS’).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Process technology, equipment and materials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Systems and components: architecture, design and integration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Health &amp; wellbeing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Energy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Digital Industry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Transport and smart mobility  </w:t>
      </w:r>
    </w:p>
    <w:p w:rsidR="00680F33" w:rsidRDefault="00680F33" w:rsidP="00680F33">
      <w:pPr>
        <w:pStyle w:val="Prrafodelista"/>
        <w:numPr>
          <w:ilvl w:val="0"/>
          <w:numId w:val="13"/>
        </w:numPr>
        <w:autoSpaceDE w:val="0"/>
        <w:autoSpaceDN w:val="0"/>
        <w:rPr>
          <w:rFonts w:ascii="TimesNewRomanPSMT" w:hAnsi="TimesNewRomanPSMT"/>
          <w:lang w:val="en-GB"/>
        </w:rPr>
      </w:pPr>
      <w:r>
        <w:rPr>
          <w:rFonts w:ascii="TimesNewRomanPSMT" w:hAnsi="TimesNewRomanPSMT"/>
          <w:lang w:val="en-GB"/>
        </w:rPr>
        <w:t xml:space="preserve">Connectivity and interoperability  </w:t>
      </w:r>
    </w:p>
    <w:p w:rsidR="00680F33" w:rsidRDefault="00680F33" w:rsidP="00680F33">
      <w:pPr>
        <w:pStyle w:val="Prrafodelista"/>
        <w:numPr>
          <w:ilvl w:val="0"/>
          <w:numId w:val="13"/>
        </w:numPr>
        <w:spacing w:after="160" w:line="252" w:lineRule="auto"/>
        <w:rPr>
          <w:rFonts w:ascii="Helvetica" w:hAnsi="Helvetica" w:cs="Helvetica"/>
          <w:color w:val="000000"/>
          <w:lang w:val="en-GB"/>
        </w:rPr>
      </w:pPr>
      <w:r>
        <w:rPr>
          <w:rFonts w:ascii="TimesNewRomanPSMT" w:hAnsi="TimesNewRomanPSMT"/>
        </w:rPr>
        <w:t xml:space="preserve">Data </w:t>
      </w:r>
      <w:proofErr w:type="spellStart"/>
      <w:r>
        <w:rPr>
          <w:rFonts w:ascii="TimesNewRomanPSMT" w:hAnsi="TimesNewRomanPSMT"/>
        </w:rPr>
        <w:t>science</w:t>
      </w:r>
      <w:proofErr w:type="spellEnd"/>
      <w:r>
        <w:rPr>
          <w:rFonts w:ascii="TimesNewRomanPSMT" w:hAnsi="TimesNewRomanPSMT"/>
        </w:rPr>
        <w:t xml:space="preserve"> and Artificial </w:t>
      </w:r>
      <w:proofErr w:type="spellStart"/>
      <w:r>
        <w:rPr>
          <w:rFonts w:ascii="TimesNewRomanPSMT" w:hAnsi="TimesNewRomanPSMT"/>
        </w:rPr>
        <w:t>Intelligence</w:t>
      </w:r>
      <w:proofErr w:type="spellEnd"/>
    </w:p>
    <w:p w:rsidR="00680F33" w:rsidRDefault="00680F33" w:rsidP="00680F33">
      <w:pPr>
        <w:rPr>
          <w:rFonts w:ascii="Helvetica" w:hAnsi="Helvetica" w:cs="Helvetica"/>
          <w:color w:val="000000"/>
          <w:lang w:val="en-GB"/>
        </w:rPr>
      </w:pPr>
    </w:p>
    <w:p w:rsidR="00680F33" w:rsidRDefault="00680F33" w:rsidP="00680F33"/>
    <w:p w:rsidR="00496DDE" w:rsidRDefault="00496DDE"/>
    <w:sectPr w:rsidR="00496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B3"/>
    <w:multiLevelType w:val="hybridMultilevel"/>
    <w:tmpl w:val="BE66C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38BA"/>
    <w:multiLevelType w:val="hybridMultilevel"/>
    <w:tmpl w:val="E5602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2FF6"/>
    <w:multiLevelType w:val="hybridMultilevel"/>
    <w:tmpl w:val="53B0F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3235"/>
    <w:multiLevelType w:val="hybridMultilevel"/>
    <w:tmpl w:val="B6C0999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ED3396"/>
    <w:multiLevelType w:val="hybridMultilevel"/>
    <w:tmpl w:val="7D34A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0717"/>
    <w:multiLevelType w:val="hybridMultilevel"/>
    <w:tmpl w:val="54CCA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0F"/>
    <w:multiLevelType w:val="hybridMultilevel"/>
    <w:tmpl w:val="DBBA2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170F"/>
    <w:multiLevelType w:val="multilevel"/>
    <w:tmpl w:val="937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F5A2E"/>
    <w:multiLevelType w:val="hybridMultilevel"/>
    <w:tmpl w:val="E2742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05E"/>
    <w:multiLevelType w:val="hybridMultilevel"/>
    <w:tmpl w:val="F6F84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72E8C"/>
    <w:multiLevelType w:val="hybridMultilevel"/>
    <w:tmpl w:val="C8A61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72A59"/>
    <w:multiLevelType w:val="hybridMultilevel"/>
    <w:tmpl w:val="B928D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111"/>
    <w:multiLevelType w:val="hybridMultilevel"/>
    <w:tmpl w:val="A24E3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E"/>
    <w:rsid w:val="002C67A5"/>
    <w:rsid w:val="003117C2"/>
    <w:rsid w:val="00343F8F"/>
    <w:rsid w:val="00413EAC"/>
    <w:rsid w:val="00496DDE"/>
    <w:rsid w:val="00553D93"/>
    <w:rsid w:val="005F72A8"/>
    <w:rsid w:val="006009F1"/>
    <w:rsid w:val="00680F33"/>
    <w:rsid w:val="008B4E46"/>
    <w:rsid w:val="009E18F6"/>
    <w:rsid w:val="00AC6300"/>
    <w:rsid w:val="00BB435D"/>
    <w:rsid w:val="00CD3AE2"/>
    <w:rsid w:val="00CF314E"/>
    <w:rsid w:val="00D75AAB"/>
    <w:rsid w:val="00E03942"/>
    <w:rsid w:val="00E93AEE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25CA-7EE0-4131-846F-2A7B233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E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3AE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03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sel.eu/calls/calls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sel.eu/" TargetMode="External"/><Relationship Id="rId5" Type="http://schemas.openxmlformats.org/officeDocument/2006/relationships/hyperlink" Target="https://www.ecsel.eu/calls/calls-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Miguel, Beatriz</dc:creator>
  <cp:keywords/>
  <dc:description/>
  <cp:lastModifiedBy>María Del Mar Gómez Zamora</cp:lastModifiedBy>
  <cp:revision>2</cp:revision>
  <dcterms:created xsi:type="dcterms:W3CDTF">2020-03-02T15:25:00Z</dcterms:created>
  <dcterms:modified xsi:type="dcterms:W3CDTF">2020-03-02T15:25:00Z</dcterms:modified>
</cp:coreProperties>
</file>